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8"/>
        <w:gridCol w:w="939"/>
        <w:gridCol w:w="937"/>
        <w:gridCol w:w="937"/>
        <w:gridCol w:w="937"/>
        <w:gridCol w:w="6"/>
        <w:gridCol w:w="930"/>
        <w:gridCol w:w="9"/>
        <w:gridCol w:w="939"/>
        <w:gridCol w:w="939"/>
        <w:gridCol w:w="81"/>
        <w:gridCol w:w="857"/>
        <w:gridCol w:w="1020"/>
      </w:tblGrid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СТАВРОПОЛЬСКИЙ ГОСУДАРСТВЕННЫЙ АГРАРНЫЙ УНИВЕРСИТЕТ</w:t>
            </w:r>
          </w:p>
        </w:tc>
      </w:tr>
      <w:tr w:rsidR="00B43FF4" w:rsidTr="005F321B">
        <w:tc>
          <w:tcPr>
            <w:tcW w:w="938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B43FF4" w:rsidTr="005F321B">
        <w:trPr>
          <w:gridAfter w:val="2"/>
          <w:wAfter w:w="1877" w:type="dxa"/>
        </w:trPr>
        <w:tc>
          <w:tcPr>
            <w:tcW w:w="938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B43FF4" w:rsidTr="005F321B">
        <w:tc>
          <w:tcPr>
            <w:tcW w:w="938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B43FF4" w:rsidTr="005F321B">
        <w:trPr>
          <w:trHeight w:val="644"/>
        </w:trPr>
        <w:tc>
          <w:tcPr>
            <w:tcW w:w="9469" w:type="dxa"/>
            <w:gridSpan w:val="13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Методические указания </w:t>
            </w:r>
          </w:p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обучающихся по освоению дисциплины</w:t>
            </w:r>
            <w:r>
              <w:rPr>
                <w:sz w:val="24"/>
                <w:szCs w:val="24"/>
              </w:rPr>
              <w:t xml:space="preserve"> </w:t>
            </w:r>
          </w:p>
          <w:p w:rsidR="00B43FF4" w:rsidRDefault="005F321B" w:rsidP="005F321B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F321B">
              <w:rPr>
                <w:rFonts w:eastAsia="Times New Roman"/>
                <w:b/>
                <w:sz w:val="32"/>
                <w:szCs w:val="32"/>
                <w:lang w:eastAsia="ru-RU"/>
              </w:rPr>
              <w:t>ФИЛОСОФИЯ</w:t>
            </w:r>
            <w:r w:rsidRPr="005F321B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</w:tcPr>
          <w:p w:rsidR="00B43FF4" w:rsidRDefault="00102EFA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 w:rsidRPr="00102EFA">
              <w:rPr>
                <w:rFonts w:eastAsia="Times New Roman"/>
                <w:b/>
                <w:color w:val="000000"/>
                <w:szCs w:val="28"/>
                <w:lang w:eastAsia="ru-RU"/>
              </w:rPr>
              <w:t>38.03.05 – Бизнес информатика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</w:tcPr>
          <w:p w:rsidR="00B43FF4" w:rsidRDefault="00102EFA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Электронный бизнес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подготовки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</w:tcPr>
          <w:p w:rsidR="00B43FF4" w:rsidRDefault="005F321B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 w:rsidRPr="005F321B">
              <w:rPr>
                <w:rFonts w:eastAsia="Times New Roman"/>
                <w:szCs w:val="28"/>
                <w:lang w:eastAsia="ru-RU"/>
              </w:rPr>
              <w:t>Бакалавр (акад.)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(степень) выпускника</w:t>
            </w:r>
          </w:p>
        </w:tc>
      </w:tr>
      <w:tr w:rsidR="00B43FF4" w:rsidTr="005F321B"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</w:t>
            </w:r>
            <w:r w:rsidR="00D43803">
              <w:rPr>
                <w:sz w:val="24"/>
                <w:szCs w:val="24"/>
              </w:rPr>
              <w:t>/ заочная</w:t>
            </w:r>
            <w:bookmarkStart w:id="0" w:name="_GoBack"/>
            <w:bookmarkEnd w:id="0"/>
          </w:p>
        </w:tc>
      </w:tr>
      <w:tr w:rsidR="00B43FF4" w:rsidTr="005F321B">
        <w:trPr>
          <w:trHeight w:val="1014"/>
        </w:trPr>
        <w:tc>
          <w:tcPr>
            <w:tcW w:w="9469" w:type="dxa"/>
            <w:gridSpan w:val="13"/>
            <w:vAlign w:val="center"/>
            <w:hideMark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</w:tr>
      <w:tr w:rsidR="00B43FF4" w:rsidTr="005F321B">
        <w:tc>
          <w:tcPr>
            <w:tcW w:w="938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B43FF4" w:rsidTr="005F321B">
        <w:tc>
          <w:tcPr>
            <w:tcW w:w="938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5F321B" w:rsidTr="005F321B">
        <w:trPr>
          <w:trHeight w:val="1045"/>
        </w:trPr>
        <w:tc>
          <w:tcPr>
            <w:tcW w:w="9469" w:type="dxa"/>
            <w:gridSpan w:val="13"/>
            <w:vAlign w:val="center"/>
          </w:tcPr>
          <w:p w:rsidR="005F321B" w:rsidRPr="005F321B" w:rsidRDefault="005F321B" w:rsidP="005F321B">
            <w:pPr>
              <w:tabs>
                <w:tab w:val="clear" w:pos="708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321B">
              <w:rPr>
                <w:rFonts w:eastAsia="Times New Roman"/>
                <w:sz w:val="24"/>
                <w:szCs w:val="24"/>
                <w:lang w:eastAsia="ru-RU"/>
              </w:rPr>
              <w:t xml:space="preserve">Авторский коллектив: доктор философских наук, </w:t>
            </w:r>
            <w:r w:rsidR="003D78D3">
              <w:rPr>
                <w:rFonts w:eastAsia="Times New Roman"/>
                <w:sz w:val="24"/>
                <w:szCs w:val="24"/>
                <w:lang w:eastAsia="ru-RU"/>
              </w:rPr>
              <w:t>доцент Золотарев С.П.</w:t>
            </w:r>
          </w:p>
          <w:p w:rsidR="005F321B" w:rsidRDefault="005F321B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B43FF4" w:rsidTr="005F321B">
        <w:tc>
          <w:tcPr>
            <w:tcW w:w="938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sz w:val="24"/>
                <w:szCs w:val="24"/>
              </w:rPr>
            </w:pPr>
          </w:p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sz w:val="24"/>
                <w:szCs w:val="24"/>
              </w:rPr>
            </w:pPr>
          </w:p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43FF4" w:rsidRDefault="00B43FF4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2"/>
                <w:szCs w:val="28"/>
              </w:rPr>
            </w:pPr>
          </w:p>
        </w:tc>
      </w:tr>
      <w:tr w:rsidR="00B43FF4" w:rsidTr="005F321B">
        <w:trPr>
          <w:trHeight w:val="68"/>
        </w:trPr>
        <w:tc>
          <w:tcPr>
            <w:tcW w:w="9469" w:type="dxa"/>
            <w:gridSpan w:val="13"/>
            <w:vAlign w:val="center"/>
            <w:hideMark/>
          </w:tcPr>
          <w:p w:rsidR="00B43FF4" w:rsidRDefault="00D43803" w:rsidP="005D0E42">
            <w:pPr>
              <w:tabs>
                <w:tab w:val="clear" w:pos="708"/>
                <w:tab w:val="left" w:pos="0"/>
              </w:tabs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Ставрополь, 2020</w:t>
            </w:r>
          </w:p>
        </w:tc>
      </w:tr>
    </w:tbl>
    <w:p w:rsidR="00B43FF4" w:rsidRDefault="00B43FF4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b/>
          <w:color w:val="000000" w:themeColor="text1"/>
          <w:sz w:val="24"/>
          <w:szCs w:val="24"/>
          <w:lang w:eastAsia="ru-RU"/>
        </w:rPr>
        <w:lastRenderedPageBreak/>
        <w:t>Методические указания для обучающихся по освоению дисциплины (модуля).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I. Общие положения.</w:t>
      </w:r>
    </w:p>
    <w:p w:rsidR="0010663F" w:rsidRPr="0010663F" w:rsidRDefault="005D0E42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II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Правила и приемы конспектирования лекций.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III. Методические рекомендации по подготовке к семинарским занятиям.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IV. Методические указания по организации самостоятельной работы студентов.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V. Методические указания по работе с литературой.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D0E42" w:rsidRPr="005D0E42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5D0E42">
        <w:rPr>
          <w:rFonts w:eastAsia="Times New Roman"/>
          <w:b/>
          <w:color w:val="000000" w:themeColor="text1"/>
          <w:sz w:val="24"/>
          <w:szCs w:val="24"/>
          <w:lang w:eastAsia="ru-RU"/>
        </w:rPr>
        <w:t xml:space="preserve">I. </w:t>
      </w:r>
      <w:r w:rsidR="005D0E42" w:rsidRPr="005D0E42">
        <w:rPr>
          <w:rFonts w:eastAsia="Times New Roman"/>
          <w:b/>
          <w:color w:val="000000" w:themeColor="text1"/>
          <w:sz w:val="24"/>
          <w:szCs w:val="24"/>
          <w:lang w:eastAsia="ru-RU"/>
        </w:rPr>
        <w:t>Общие положения.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5D0E42">
        <w:rPr>
          <w:rFonts w:eastAsia="Times New Roman"/>
          <w:color w:val="000000" w:themeColor="text1"/>
          <w:sz w:val="24"/>
          <w:szCs w:val="24"/>
          <w:lang w:eastAsia="ru-RU"/>
        </w:rPr>
        <w:t>Основными формами обучения студентов являются лекции, практические занятия, самостоятельная работа, выполнение контрольной работы.</w:t>
      </w: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Эффективными формами контроля за изучением курса студентами являются консультации. Они используются для оказания помощи студентам при их подготовке к семинарским занятиям, для бесед по дискуссионным проблемам и со студентами, пропустившими семинарские занятия, а также индивидуальной работы преподавателя с отстающими студентами.</w:t>
      </w:r>
    </w:p>
    <w:p w:rsidR="005D0E42" w:rsidRPr="005D0E42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4610E5">
        <w:rPr>
          <w:rFonts w:eastAsia="Times New Roman"/>
          <w:b/>
          <w:color w:val="000000" w:themeColor="text1"/>
          <w:sz w:val="24"/>
          <w:szCs w:val="24"/>
          <w:lang w:eastAsia="ru-RU"/>
        </w:rPr>
        <w:t xml:space="preserve">II. </w:t>
      </w:r>
      <w:r w:rsidR="005D0E42" w:rsidRPr="005D0E42">
        <w:rPr>
          <w:rFonts w:eastAsia="Times New Roman"/>
          <w:b/>
          <w:color w:val="000000" w:themeColor="text1"/>
          <w:sz w:val="24"/>
          <w:szCs w:val="24"/>
          <w:lang w:eastAsia="ru-RU"/>
        </w:rPr>
        <w:t>Правила и приемы конспектирования лекций.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1. Конспектирование лекций ведется в специально отведенной для этого тетради, каждый лист которой должен иметь поля (4-5 см) для дополнительных записей;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2. Необходимо записывать тему и план лекций, рекомендуемую литературу к теме. Записи разделов лекции должны иметь заголовки, подзаголовки, красные строки. Для выделения разделов, выводов, определений, основных идей можно использовать цветные карандаши и фломастеры;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3. Названные в лекции ссылки на первоисточники надо пометить на полях, чтобы при самостоятельной работе найти и вписать их;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4. В конспекте дословно записываются определения понятий, категорий и законов. Остальное должно быть записано своими словами;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5. Каждому студенту необходимо выработать и использовать допустимые сокращения наиболее распространенных терминов и понятий;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Однако чрезмерное увлечение сокращениями может привести к тому, что со временем в них будет трудно разобраться. В конспект следует заносить всё, что преподаватель пишет на доске, а также рекомендуемые схемы, таблицы, диаграммы и т.д. Надо иметь в виду, что изучение и отработка прослушанных лекций без промедления значительно экономит время и способствует лучшему усвоению материала.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610E5">
        <w:rPr>
          <w:rFonts w:eastAsia="Times New Roman"/>
          <w:b/>
          <w:color w:val="000000" w:themeColor="text1"/>
          <w:sz w:val="24"/>
          <w:szCs w:val="24"/>
          <w:lang w:eastAsia="ru-RU"/>
        </w:rPr>
        <w:t>III. Методические рекомендации по подготовке к семинарским занятиям</w:t>
      </w: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Для правильной организации подготовки к семинарским занятиям, в качестве методической помощи, предлагаются следующие советы и рекомендации: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формирование внутренней установки на способность решения любой учебной задачи и проблемы;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-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выработка высокой мотивации на успех в учебе;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формирование в процессе систематической подготовки к семинарским занятиям трудолюбия;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оптимальное выделение времени на самоподготовку в зависимости от степени сложности дисциплины;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выделение на подготовку к семинарским занятиям не менее 2-3 часов;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подготовку к семинару начинать за 2-3 дня до занятия;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подготовку к семинарам начинать с прочтения и осмысления лекционного конспекта в тот день, когда прослушана лекция;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выработать привычку постоянного посещения библиотеки и навыки пользования алфавитным и систематическим каталогами;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в процессе самоподготовки аккуратно и методически грамотно оформлять конспект для семинарских занятий и индивидуальный словарь;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lastRenderedPageBreak/>
        <w:t xml:space="preserve">- постоянно и систематически совершенствовать методическую культуру (навыки, умения, методы) чтения учебной литературы, выявления из текстов нужной информации;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- конспектировать семинарские занятия;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- подготовка выступлений, докладов и рефератов;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обращать внимание на грамотность, содержательность и логичность своей речи;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- в процессе подготовки к занятиям постоянно мысленно проговаривать и моделировать (внутренняя речь) ответы, комментарии, интерпретации по различным вопросам и проблемам этики и эстетики;</w:t>
      </w:r>
    </w:p>
    <w:p w:rsidR="0010663F" w:rsidRPr="004610E5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4610E5">
        <w:rPr>
          <w:rFonts w:eastAsia="Times New Roman"/>
          <w:b/>
          <w:color w:val="000000" w:themeColor="text1"/>
          <w:sz w:val="24"/>
          <w:szCs w:val="24"/>
          <w:lang w:eastAsia="ru-RU"/>
        </w:rPr>
        <w:t>IV. Методические указания по организации самостоятельной работы студентов.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Одним из основных видов образовательной деятельности, выражающимся в самообучении студентов, направленной на получение и привитие знаний, навыков, умений, способов, которые формируют профессиональные качества будущего специалиста, является самостоятельная работа студентов. Она представляет самый эффективный путь получения и закрепления знаний и навыков самообучения. Для правильной организации самостоятельной работы студенту необходимо оказать методическую, практическую и консультативную помощь.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Вот некоторые советы и рекомендации студенту по организации самостоятельной работы: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выработка высокой мотивации на успех и хорошие результаты в учебе;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формирование внутренней установки на способность решения учебных задач и проблем;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• формирование в процессе самостоятельной работы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трудолюбия, усидчивости и систематической подготовки к семинарским занятиям;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• формирование умения оптимального распределения времени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на самостоятельную работу в зависимости от степени сложности той или иной дисциплины;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выделение на подгото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вку к семинарам по дисциплине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”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Философия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” менее 1,5-2 часов за день до занятия;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взять за правило прочитывать и осмысливать конспект лекции в тот же день, когда была прослушана лекция;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выработать привычку систематически посещать библиотеку и навыки правильно пользоваться каталогами;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в процессе самоподготовки вести конспект и словарь по этики и эстетике;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• всячески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соверш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енствовать методическую грамотность и культуру чтения учебной литературы, умение выявлять из текстов нужную информацию, компоновки, классификации и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упорядочивания полученных знаний и информации;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конспектировать лекции и семинарские занятия;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совершенств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овать подготовку выступлений, докладов и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рефератов, культуру речи (дикция, артикуляция), уделяя большое внимание на ее грамотность, содержательность и логичность, помня о гармонии, о соответствии формы и содержания;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в процессе подготовки к занятиям проводить своеобразные репетиции, мысленно проговаривая и моделируя ответы, комментарии, трактовки, интерпретации по различным вопросам и проблемам этики и эстетики;</w:t>
      </w:r>
    </w:p>
    <w:p w:rsidR="0010663F" w:rsidRPr="0010663F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• принимать активное участие в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творческих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 коллективах </w:t>
      </w:r>
      <w:proofErr w:type="spellStart"/>
      <w:r>
        <w:rPr>
          <w:rFonts w:eastAsia="Times New Roman"/>
          <w:color w:val="000000" w:themeColor="text1"/>
          <w:sz w:val="24"/>
          <w:szCs w:val="24"/>
          <w:lang w:eastAsia="ru-RU"/>
        </w:rPr>
        <w:t>СтГАУ</w:t>
      </w:r>
      <w:proofErr w:type="spellEnd"/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, стремиться развивать свои творческие способности </w:t>
      </w:r>
      <w:r w:rsidR="0010663F" w:rsidRPr="0010663F">
        <w:rPr>
          <w:rFonts w:eastAsia="Times New Roman"/>
          <w:color w:val="000000" w:themeColor="text1"/>
          <w:sz w:val="24"/>
          <w:szCs w:val="24"/>
          <w:lang w:eastAsia="ru-RU"/>
        </w:rPr>
        <w:t>и совершенствовать свой эстетический вкус;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• систематически посещать выставки в музеях города, спектакли Краевого драматического театра, филармонические концерты, постоянно читать лучшие произведения художественной литературы;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• приложить максимум усилий для того, чтобы полученные знания по этике и эстетике использовать для формирования всесторонне и гармонично развитой личности, стремиться жить и творить по «законам красоты»;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lastRenderedPageBreak/>
        <w:t>• по всем возникающим вопросам и проблемам по самостоятельному изучению этики и эстетики обращаться за помощью к своему преподавателю;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принимайте участие в НИРС. </w:t>
      </w:r>
    </w:p>
    <w:p w:rsidR="0010663F" w:rsidRPr="004610E5" w:rsidRDefault="004610E5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4610E5">
        <w:rPr>
          <w:rFonts w:eastAsia="Times New Roman"/>
          <w:b/>
          <w:color w:val="000000" w:themeColor="text1"/>
          <w:sz w:val="24"/>
          <w:szCs w:val="24"/>
          <w:lang w:eastAsia="ru-RU"/>
        </w:rPr>
        <w:t>V.</w:t>
      </w:r>
      <w:r w:rsidR="0010663F" w:rsidRPr="004610E5">
        <w:rPr>
          <w:rFonts w:eastAsia="Times New Roman"/>
          <w:b/>
          <w:color w:val="000000" w:themeColor="text1"/>
          <w:sz w:val="24"/>
          <w:szCs w:val="24"/>
          <w:lang w:eastAsia="ru-RU"/>
        </w:rPr>
        <w:t xml:space="preserve"> Методические указания по работе с литературой.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Особое место среди видов самостоятельной работы занимает работа с литературой, являющаяся основным методом самостоятельного овладения знаниями. Изучение литературы - процесс сложный, требующий выработки определенных навыков. Поэтому важно научится работать с книгой. Перечень и объем литературы, необходимой для изучения дисциплины «</w:t>
      </w:r>
      <w:r w:rsidR="004610E5">
        <w:rPr>
          <w:rFonts w:eastAsia="Times New Roman"/>
          <w:color w:val="000000" w:themeColor="text1"/>
          <w:sz w:val="24"/>
          <w:szCs w:val="24"/>
          <w:lang w:eastAsia="ru-RU"/>
        </w:rPr>
        <w:t>Философия</w:t>
      </w: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», определяется программой курса и другими методическими рекомендациями.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Всю литературу можно разделить на учебники и учебные пособия, оригинальные научные монографические источники, научные публикации в периодической печати. Из них можно выделить литературу основную  (рекомендуемую), дополнительную и литературу для углубленного изучения дисциплины.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Изучение дисциплины следует начинать с учебника, поскольку учебник – это книга, в которой изложены основы научных знаний по определенному предмету в соответствии с целями и задачами обучения, установленными программой и требованиями дидактики.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При работе с литературой следует учитывать, что имеются различные виды чтения, и каждый из них используется на определенных этапах освоения материала.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Предварительное чтение направлено на выявление в тексте незнакомых терминов и поиск их значения в справочной литературе. В частности, при чтении указанной литературы необходимо подробнейшим образом анализировать понятия «конфликт», «инцидент», «переговоры», «медиация».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Сквозное чтение предполагает прочтение материала от начала до конца. Сквозное чтение литературы из приведенного списка дает возможность студенту сформировать тезаурус основных понятий из изучаемой области и свободно владеть ими.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Выборочное – наоборот, имеет целью поиск и отбор материала. В рамках данного курса выборочное чтение, как способ освоения содержания курса, должно использоваться при подготовке к практическим занятиям по соответствующим темам.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Аналитическое чтение – это критический разбор текста с последующим его конспектированием. Освоение указанных понятий будет наиболее эффективным в том случае, если при чтении текстов студент будет задавать к этим текстам вопросы.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Целью изучающего чтения является глубокое и всестороннее понимание учебной информации. Есть несколько приемов изучающего чтения: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1. Чтение по алгоритму предполагает разбиение информации на блоки: название; автор; источник; основная идея текста; фактический материал; анализ текста путем сопоставления имеющихся точек зрения по рассматриваемым вопросам; новизна.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2. Прием постановки вопросов к тексту имеет следующий алгоритм: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- медленно прочитать текст, стараясь понять смысл изложенного;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- выделить ключевые слова в тексте;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- постараться понять основные идеи, подтекст и общий замысел автора.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3. Прием </w:t>
      </w:r>
      <w:proofErr w:type="spellStart"/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тезирования</w:t>
      </w:r>
      <w:proofErr w:type="spellEnd"/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 заключается в формулировании тезисов в виде положений, утверждений, выводов.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К этому можно добавить и иные приемы: прием реферирования, прием комментирования.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При работе с литературой по данной дисциплине необходимо иметь в виду, что вся предметная область данной дисциплин</w:t>
      </w:r>
      <w:r w:rsidR="004610E5">
        <w:rPr>
          <w:rFonts w:eastAsia="Times New Roman"/>
          <w:color w:val="000000" w:themeColor="text1"/>
          <w:sz w:val="24"/>
          <w:szCs w:val="24"/>
          <w:lang w:eastAsia="ru-RU"/>
        </w:rPr>
        <w:t xml:space="preserve">ы имела свою историю развития. </w:t>
      </w: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Поэтому при чтении текстов необходимо отмечать хронологию текстов. Такое сопоставление дает не только лучшее понимание смысла текстов, но и способствует лучшей организации материала в памяти.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lastRenderedPageBreak/>
        <w:t xml:space="preserve">Важной составляющей любого солидного научного издания является список литературы, на которую ссылается автор. При возникновении интереса к какой-то обсуждаемой в тексте проблеме всегда есть возможность обратиться к списку относящейся к ней литературы. В этом случае вся проблема как бы разбивается на составляющие части, каждая из которых может изучаться отдельно от других. При этом важно не терять из вида общий контекст и не погружаться чрезмерно в детали, потому что таким образом можно «за деревьями не увидеть леса».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В решении всех учебных задач немаловажную роль играют записи, сделанные в процессе чтения книги. Они являются серьезным подспорьем в подготовке к экзаменам, так как позволяют включать глубинную память и воспроизводить содержание ранее прочитанной книги. Можно выделить три основных способа записи: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а) запись интересных, важных для запоминания или последующего использования положений и фактов; </w:t>
      </w:r>
    </w:p>
    <w:p w:rsidR="0010663F" w:rsidRPr="0010663F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 xml:space="preserve">б) последовательная запись мыслей автора, по разделам, главам, параграфам книги. Такая запись требует творческой переработки прочитанного, что способствует прочному усвоению содержания книги; </w:t>
      </w:r>
    </w:p>
    <w:p w:rsidR="0010663F" w:rsidRPr="007300FD" w:rsidRDefault="0010663F" w:rsidP="005D0E42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10663F">
        <w:rPr>
          <w:rFonts w:eastAsia="Times New Roman"/>
          <w:color w:val="000000" w:themeColor="text1"/>
          <w:sz w:val="24"/>
          <w:szCs w:val="24"/>
          <w:lang w:eastAsia="ru-RU"/>
        </w:rPr>
        <w:t>в) краткое изложение прочитанного: содержание страниц укладывается в несколько фраз, содержание глав - в несколько страниц связного текста. Этот вид записи проще, ближе к первоисточнику, но при</w:t>
      </w:r>
      <w:r w:rsidRPr="007300FD">
        <w:rPr>
          <w:rFonts w:eastAsia="Times New Roman"/>
          <w:color w:val="000000" w:themeColor="text1"/>
          <w:sz w:val="24"/>
          <w:szCs w:val="24"/>
          <w:lang w:eastAsia="ru-RU"/>
        </w:rPr>
        <w:t xml:space="preserve"> этом творческая мысль читателя пассивнее, а поэтому усвоение материала слабее</w:t>
      </w:r>
      <w:r w:rsidRPr="007300FD">
        <w:rPr>
          <w:rFonts w:eastAsia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FB4D3D" w:rsidRDefault="00FB4D3D" w:rsidP="005D0E42">
      <w:pPr>
        <w:tabs>
          <w:tab w:val="clear" w:pos="708"/>
          <w:tab w:val="left" w:pos="0"/>
        </w:tabs>
        <w:ind w:firstLine="709"/>
      </w:pPr>
    </w:p>
    <w:sectPr w:rsidR="00FB4D3D" w:rsidSect="00FB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63F"/>
    <w:rsid w:val="000C5544"/>
    <w:rsid w:val="00102EFA"/>
    <w:rsid w:val="0010663F"/>
    <w:rsid w:val="00147C53"/>
    <w:rsid w:val="00211B12"/>
    <w:rsid w:val="003D78D3"/>
    <w:rsid w:val="004610E5"/>
    <w:rsid w:val="0053726C"/>
    <w:rsid w:val="005D0E42"/>
    <w:rsid w:val="005F321B"/>
    <w:rsid w:val="006F5A2B"/>
    <w:rsid w:val="00B43FF4"/>
    <w:rsid w:val="00C2570A"/>
    <w:rsid w:val="00D43803"/>
    <w:rsid w:val="00FB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3F"/>
    <w:pPr>
      <w:tabs>
        <w:tab w:val="left" w:pos="708"/>
      </w:tabs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zav.filos</dc:creator>
  <cp:lastModifiedBy>пользователь</cp:lastModifiedBy>
  <cp:revision>10</cp:revision>
  <dcterms:created xsi:type="dcterms:W3CDTF">2017-01-11T11:03:00Z</dcterms:created>
  <dcterms:modified xsi:type="dcterms:W3CDTF">2020-10-05T18:44:00Z</dcterms:modified>
</cp:coreProperties>
</file>